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67" w:rsidRDefault="009A4267" w:rsidP="00292FE3">
      <w:pPr>
        <w:spacing w:after="0" w:line="240" w:lineRule="auto"/>
        <w:ind w:left="28" w:right="28"/>
      </w:pPr>
      <w:bookmarkStart w:id="0" w:name="_GoBack"/>
      <w:bookmarkEnd w:id="0"/>
    </w:p>
    <w:tbl>
      <w:tblPr>
        <w:tblW w:w="98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243"/>
        <w:gridCol w:w="2909"/>
        <w:gridCol w:w="10"/>
      </w:tblGrid>
      <w:tr w:rsidR="009A4267" w:rsidRPr="00D46B97" w:rsidTr="001371A7">
        <w:trPr>
          <w:gridAfter w:val="1"/>
          <w:wAfter w:w="10" w:type="dxa"/>
          <w:trHeight w:val="499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1371A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1371A7" w:rsidRPr="001371A7">
              <w:rPr>
                <w:rStyle w:val="Teksttreci29"/>
                <w:b/>
                <w:color w:val="000000"/>
              </w:rPr>
              <w:t>Miejski Zespół Oświaty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Sławków,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 w:rsidR="008A3EB3">
              <w:rPr>
                <w:rStyle w:val="Teksttreci29"/>
                <w:b/>
                <w:color w:val="000000"/>
              </w:rPr>
              <w:t>Gen. Wł. Sikorskiego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="008A3EB3" w:rsidRPr="008A3EB3">
              <w:rPr>
                <w:b/>
                <w:sz w:val="22"/>
                <w:szCs w:val="22"/>
              </w:rPr>
              <w:t>Działalność rachunkowo - księgowa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556367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556367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</w:t>
            </w:r>
            <w:r w:rsidR="00C537C0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556367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C537C0">
              <w:rPr>
                <w:rStyle w:val="Teksttreci29"/>
                <w:color w:val="000000"/>
              </w:rPr>
              <w:t xml:space="preserve"> 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33031" w:rsidRDefault="009A4267" w:rsidP="008A3EB3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9A4267" w:rsidRPr="00D33031" w:rsidRDefault="009A4267" w:rsidP="008A3EB3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9A4267" w:rsidRPr="00D33031" w:rsidRDefault="009A4267" w:rsidP="008A3EB3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9A4267" w:rsidRPr="00D33031" w:rsidRDefault="009A4267" w:rsidP="008A3EB3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9A4267" w:rsidRPr="00D33031" w:rsidRDefault="009A4267" w:rsidP="008A3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9A4267" w:rsidRPr="00D33031" w:rsidRDefault="009A4267" w:rsidP="008A3EB3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lastRenderedPageBreak/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9A4267" w:rsidRPr="00D33031" w:rsidRDefault="009A4267" w:rsidP="008A3EB3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>
              <w:rPr>
                <w:sz w:val="22"/>
                <w:szCs w:val="22"/>
              </w:rPr>
              <w:t>.</w:t>
            </w:r>
          </w:p>
          <w:p w:rsidR="009A4267" w:rsidRPr="00D33031" w:rsidRDefault="009A4267" w:rsidP="008A3E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Pr="00D46B97">
              <w:rPr>
                <w:rStyle w:val="Teksttreci29"/>
                <w:color w:val="000000"/>
              </w:rPr>
              <w:br/>
              <w:t>zawierający stan tych aktywów na początek roku obrotowego, zwiększenia i zmniejszenia z tytułu: aktualizacji</w:t>
            </w:r>
            <w:r w:rsidRPr="00D46B97">
              <w:rPr>
                <w:rStyle w:val="Teksttreci29"/>
                <w:color w:val="000000"/>
              </w:rPr>
              <w:br/>
              <w:t>wartości, nabycia, rozchodu, przemieszczenia wewnętrznego oraz stan końcowy, a dla majątku amortyzowanego</w:t>
            </w:r>
            <w:r w:rsidRPr="00D46B97">
              <w:rPr>
                <w:rStyle w:val="Teksttreci29"/>
                <w:color w:val="000000"/>
              </w:rPr>
              <w:br/>
              <w:t xml:space="preserve"> – podobne przedstawienie stanów i tytułów zmian dotychczasowej amortyzacji lub umorzenia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>
              <w:rPr>
                <w:b/>
              </w:rPr>
              <w:t xml:space="preserve"> i Nr 3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Pr="00D46B97">
              <w:rPr>
                <w:rStyle w:val="Teksttreci29"/>
                <w:color w:val="000000"/>
              </w:rPr>
              <w:br/>
              <w:t>długoterminowych aktywów niefinansowych oraz długoterminowych aktywów finansowych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9A4267" w:rsidRPr="00D46B97" w:rsidTr="001371A7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Pr="00F366FD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9A4267" w:rsidRPr="00D46B97" w:rsidTr="001371A7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9A4267" w:rsidRPr="00D46B97" w:rsidTr="001371A7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9A4267" w:rsidRPr="00D46B97" w:rsidTr="001371A7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Pr="00D46B97">
              <w:rPr>
                <w:rStyle w:val="Teksttreci29"/>
                <w:color w:val="000000"/>
              </w:rPr>
              <w:br/>
              <w:t>zwiększeniach, wykorzystaniu, rozwiązaniu i stanie na koniec roku obrotowego, z uwzględnieniem należności</w:t>
            </w:r>
            <w:r w:rsidRPr="00D46B97">
              <w:rPr>
                <w:rStyle w:val="Teksttreci29"/>
                <w:color w:val="000000"/>
              </w:rPr>
              <w:br/>
              <w:t>finansowych jednostek samorządu terytorialnego (stan pożyczek zagrożonych)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2259C7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  <w:r w:rsidR="004E43CD">
              <w:rPr>
                <w:b/>
              </w:rPr>
              <w:t>, Nr 6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Pr="00D46B97">
              <w:rPr>
                <w:rStyle w:val="Teksttreci29"/>
                <w:color w:val="000000"/>
              </w:rPr>
              <w:br/>
              <w:t>rozwiązaniu i stanie końcowym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9A4267" w:rsidRPr="00D46B97" w:rsidTr="001371A7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9A4267" w:rsidRPr="00D46B97" w:rsidRDefault="009A4267" w:rsidP="008A3EB3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9A4267" w:rsidRPr="00D46B97" w:rsidTr="001371A7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9A4267" w:rsidRPr="00D46B97" w:rsidTr="001371A7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F366FD" w:rsidRDefault="009A4267" w:rsidP="008A3EB3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F366FD" w:rsidRDefault="009A4267" w:rsidP="008A3EB3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9A4267" w:rsidRPr="00D46B97" w:rsidTr="001371A7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9A4267" w:rsidRPr="00D46B97" w:rsidTr="001371A7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267" w:rsidRPr="00D46B97" w:rsidRDefault="009A4267" w:rsidP="008A3EB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9A4267" w:rsidRPr="00D46B97" w:rsidTr="001371A7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061157" w:rsidP="00061157">
            <w:pPr>
              <w:spacing w:after="0" w:line="240" w:lineRule="auto"/>
              <w:ind w:left="28" w:right="31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</w:t>
            </w:r>
            <w:r w:rsidR="005F2164" w:rsidRPr="005F2164">
              <w:rPr>
                <w:sz w:val="18"/>
                <w:szCs w:val="18"/>
              </w:rPr>
              <w:t>mgr Iwona Kaczmarzyk</w:t>
            </w:r>
          </w:p>
        </w:tc>
        <w:tc>
          <w:tcPr>
            <w:tcW w:w="424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B1656" w:rsidRDefault="009A4267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 w:rsidRPr="00D46B97">
              <w:rPr>
                <w:sz w:val="10"/>
                <w:szCs w:val="10"/>
              </w:rPr>
              <w:t>.</w:t>
            </w:r>
            <w:r w:rsidR="000B1656" w:rsidRPr="000B1656">
              <w:rPr>
                <w:b/>
                <w:sz w:val="24"/>
                <w:szCs w:val="24"/>
              </w:rPr>
              <w:t>202</w:t>
            </w:r>
            <w:r w:rsidR="00556367">
              <w:rPr>
                <w:b/>
                <w:sz w:val="24"/>
                <w:szCs w:val="24"/>
              </w:rPr>
              <w:t>3</w:t>
            </w:r>
            <w:r w:rsidR="000B1656" w:rsidRPr="000B1656">
              <w:rPr>
                <w:b/>
                <w:sz w:val="24"/>
                <w:szCs w:val="24"/>
              </w:rPr>
              <w:t>.03.2</w:t>
            </w:r>
            <w:r w:rsidR="00556367">
              <w:rPr>
                <w:b/>
                <w:sz w:val="24"/>
                <w:szCs w:val="24"/>
              </w:rPr>
              <w:t>4</w:t>
            </w:r>
            <w:r w:rsidR="00C537C0">
              <w:rPr>
                <w:b/>
                <w:sz w:val="24"/>
                <w:szCs w:val="24"/>
              </w:rPr>
              <w:t xml:space="preserve">                                                              </w:t>
            </w:r>
            <w:r w:rsidR="005F2164" w:rsidRPr="005F2164">
              <w:rPr>
                <w:sz w:val="18"/>
                <w:szCs w:val="18"/>
              </w:rPr>
              <w:t>mgr</w:t>
            </w:r>
            <w:r w:rsidR="005F2164">
              <w:rPr>
                <w:sz w:val="18"/>
                <w:szCs w:val="18"/>
              </w:rPr>
              <w:t xml:space="preserve"> Danuta Niejadlik</w:t>
            </w:r>
          </w:p>
          <w:p w:rsidR="005F2164" w:rsidRPr="005F2164" w:rsidRDefault="005F2164" w:rsidP="000B1656">
            <w:pPr>
              <w:spacing w:after="0" w:line="240" w:lineRule="auto"/>
              <w:ind w:left="28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Kierownik Miejskiego Zespołu Oświaty w Sławkowie</w:t>
            </w:r>
          </w:p>
          <w:p w:rsidR="009A4267" w:rsidRPr="00D46B97" w:rsidRDefault="009A4267" w:rsidP="008A3EB3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A4267" w:rsidRPr="00D46B97" w:rsidRDefault="009A4267" w:rsidP="008A3EB3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</w:t>
            </w:r>
          </w:p>
        </w:tc>
      </w:tr>
      <w:tr w:rsidR="009A4267" w:rsidRPr="00D46B97" w:rsidTr="001371A7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243" w:type="dxa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9A4267" w:rsidRPr="00D46B97" w:rsidRDefault="009A4267" w:rsidP="008A3EB3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9A4267" w:rsidRPr="00D46B97" w:rsidRDefault="009A4267" w:rsidP="009A4267">
      <w:pPr>
        <w:spacing w:after="0" w:line="240" w:lineRule="auto"/>
        <w:ind w:left="28" w:right="28"/>
        <w:rPr>
          <w:sz w:val="2"/>
          <w:szCs w:val="2"/>
        </w:rPr>
      </w:pPr>
    </w:p>
    <w:p w:rsidR="009A4267" w:rsidRPr="00D46B97" w:rsidRDefault="009A4267" w:rsidP="009A4267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Pr="00D46B97" w:rsidRDefault="009A4267" w:rsidP="00292FE3">
      <w:pPr>
        <w:spacing w:after="0" w:line="240" w:lineRule="auto"/>
        <w:ind w:left="28" w:right="28"/>
      </w:pPr>
    </w:p>
    <w:sectPr w:rsidR="009A4267" w:rsidRPr="00D46B9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61157"/>
    <w:rsid w:val="000B1656"/>
    <w:rsid w:val="001371A7"/>
    <w:rsid w:val="002253EE"/>
    <w:rsid w:val="002259C7"/>
    <w:rsid w:val="00290076"/>
    <w:rsid w:val="00292FE3"/>
    <w:rsid w:val="00323F82"/>
    <w:rsid w:val="0038622F"/>
    <w:rsid w:val="00386895"/>
    <w:rsid w:val="004C67B1"/>
    <w:rsid w:val="004E43CD"/>
    <w:rsid w:val="005136B7"/>
    <w:rsid w:val="0054204C"/>
    <w:rsid w:val="00553B25"/>
    <w:rsid w:val="00556367"/>
    <w:rsid w:val="005A595E"/>
    <w:rsid w:val="005F2164"/>
    <w:rsid w:val="00652FD8"/>
    <w:rsid w:val="00654186"/>
    <w:rsid w:val="007509E2"/>
    <w:rsid w:val="00781614"/>
    <w:rsid w:val="00801C48"/>
    <w:rsid w:val="00812905"/>
    <w:rsid w:val="008A3EB3"/>
    <w:rsid w:val="008A7C57"/>
    <w:rsid w:val="009A4267"/>
    <w:rsid w:val="009C2E3C"/>
    <w:rsid w:val="00A849F5"/>
    <w:rsid w:val="00AE7A2A"/>
    <w:rsid w:val="00B7237C"/>
    <w:rsid w:val="00BD6870"/>
    <w:rsid w:val="00BF47E3"/>
    <w:rsid w:val="00C537C0"/>
    <w:rsid w:val="00CE4261"/>
    <w:rsid w:val="00D33031"/>
    <w:rsid w:val="00D46B97"/>
    <w:rsid w:val="00D66887"/>
    <w:rsid w:val="00DA2CF9"/>
    <w:rsid w:val="00DF2FAE"/>
    <w:rsid w:val="00EB077D"/>
    <w:rsid w:val="00F35D2A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589BB4-5A06-4F9D-8799-EA2BD8AC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C48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2</cp:revision>
  <cp:lastPrinted>2019-03-26T14:13:00Z</cp:lastPrinted>
  <dcterms:created xsi:type="dcterms:W3CDTF">2023-03-28T11:44:00Z</dcterms:created>
  <dcterms:modified xsi:type="dcterms:W3CDTF">2023-03-28T11:44:00Z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