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B2" w:rsidRPr="00282F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Zarządzenie Nr 0</w:t>
      </w:r>
      <w:r w:rsidR="00282FB2"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3</w:t>
      </w: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/202</w:t>
      </w:r>
      <w:r w:rsidR="00D32658"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4</w:t>
      </w:r>
    </w:p>
    <w:p w:rsidR="008E42B2" w:rsidRPr="00282F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Kierownika Miejskiego Zespołu Oświaty w Sławkowie</w:t>
      </w:r>
    </w:p>
    <w:p w:rsidR="008E42B2" w:rsidRPr="00282F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z dnia </w:t>
      </w:r>
      <w:r w:rsidR="00D32658"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22 lipca</w:t>
      </w: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202</w:t>
      </w:r>
      <w:r w:rsidR="00D32658"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4</w:t>
      </w: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r.</w:t>
      </w:r>
    </w:p>
    <w:p w:rsidR="008E42B2" w:rsidRPr="00282F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w sprawie</w:t>
      </w:r>
      <w:r w:rsidR="00F46000">
        <w:rPr>
          <w:rFonts w:ascii="Times New Roman" w:eastAsia="Lucida Sans Unicode" w:hAnsi="Times New Roman" w:cs="Times New Roman"/>
          <w:kern w:val="2"/>
          <w:sz w:val="24"/>
          <w:szCs w:val="24"/>
        </w:rPr>
        <w:t>: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zmian do Regulaminu wynagradzania pracowników zatrudnionych w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Miejskim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Zespole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Oświaty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w Sławkowie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kern w:val="2"/>
          <w:sz w:val="25"/>
          <w:szCs w:val="25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 podstawie art. 39 ust. 1, pkt </w:t>
      </w:r>
      <w:r w:rsidR="004004C0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1 i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2 ustawy </w:t>
      </w:r>
      <w:r w:rsidRPr="00661D8F">
        <w:rPr>
          <w:rFonts w:ascii="Times New Roman" w:hAnsi="Times New Roman" w:cs="Times New Roman"/>
          <w:color w:val="7030A0"/>
          <w:sz w:val="24"/>
          <w:szCs w:val="24"/>
        </w:rPr>
        <w:t xml:space="preserve">z </w:t>
      </w:r>
      <w:r w:rsidRPr="00661D8F">
        <w:rPr>
          <w:rFonts w:ascii="Times New Roman" w:hAnsi="Times New Roman" w:cs="Times New Roman"/>
          <w:sz w:val="24"/>
          <w:szCs w:val="24"/>
        </w:rPr>
        <w:t xml:space="preserve">21 listopada 2008 roku o pracownikach </w:t>
      </w:r>
      <w:r w:rsidRPr="00735A5A">
        <w:rPr>
          <w:rFonts w:ascii="Times New Roman" w:hAnsi="Times New Roman" w:cs="Times New Roman"/>
          <w:sz w:val="24"/>
          <w:szCs w:val="24"/>
        </w:rPr>
        <w:t>samorządowych (tekst jednolity Dz.U. z 2022 r., poz. 530</w:t>
      </w:r>
      <w:r w:rsidR="00735A5A" w:rsidRPr="00735A5A">
        <w:rPr>
          <w:rFonts w:ascii="Times New Roman" w:hAnsi="Times New Roman" w:cs="Times New Roman"/>
          <w:sz w:val="24"/>
          <w:szCs w:val="24"/>
        </w:rPr>
        <w:t xml:space="preserve"> ze zm.</w:t>
      </w:r>
      <w:r w:rsidRPr="00735A5A">
        <w:rPr>
          <w:rFonts w:ascii="Times New Roman" w:hAnsi="Times New Roman" w:cs="Times New Roman"/>
          <w:sz w:val="24"/>
          <w:szCs w:val="24"/>
        </w:rPr>
        <w:t xml:space="preserve">) </w:t>
      </w:r>
      <w:r w:rsidRPr="00661D8F">
        <w:rPr>
          <w:rFonts w:ascii="Times New Roman" w:hAnsi="Times New Roman" w:cs="Times New Roman"/>
          <w:sz w:val="24"/>
          <w:szCs w:val="24"/>
        </w:rPr>
        <w:t>oraz rozporządzenia Rady Ministrów z dnia</w:t>
      </w:r>
      <w:r w:rsidR="004004C0">
        <w:rPr>
          <w:rFonts w:ascii="Times New Roman" w:hAnsi="Times New Roman" w:cs="Times New Roman"/>
          <w:sz w:val="24"/>
          <w:szCs w:val="24"/>
        </w:rPr>
        <w:t xml:space="preserve"> </w:t>
      </w:r>
      <w:r w:rsidR="00D32658">
        <w:rPr>
          <w:rFonts w:ascii="Times New Roman" w:hAnsi="Times New Roman" w:cs="Times New Roman"/>
          <w:sz w:val="24"/>
          <w:szCs w:val="24"/>
        </w:rPr>
        <w:t>1</w:t>
      </w:r>
      <w:r w:rsidR="004004C0" w:rsidRPr="004004C0">
        <w:rPr>
          <w:rFonts w:ascii="Times New Roman" w:hAnsi="Times New Roman" w:cs="Times New Roman"/>
          <w:sz w:val="24"/>
          <w:szCs w:val="24"/>
        </w:rPr>
        <w:t xml:space="preserve">2 </w:t>
      </w:r>
      <w:r w:rsidR="00D32658">
        <w:rPr>
          <w:rFonts w:ascii="Times New Roman" w:hAnsi="Times New Roman" w:cs="Times New Roman"/>
          <w:sz w:val="24"/>
          <w:szCs w:val="24"/>
        </w:rPr>
        <w:t>lipca</w:t>
      </w:r>
      <w:r w:rsidR="004004C0" w:rsidRPr="004004C0">
        <w:rPr>
          <w:rFonts w:ascii="Times New Roman" w:hAnsi="Times New Roman" w:cs="Times New Roman"/>
          <w:sz w:val="24"/>
          <w:szCs w:val="24"/>
        </w:rPr>
        <w:t xml:space="preserve"> 202</w:t>
      </w:r>
      <w:r w:rsidR="00D32658">
        <w:rPr>
          <w:rFonts w:ascii="Times New Roman" w:hAnsi="Times New Roman" w:cs="Times New Roman"/>
          <w:sz w:val="24"/>
          <w:szCs w:val="24"/>
        </w:rPr>
        <w:t>4</w:t>
      </w:r>
      <w:r w:rsidR="004004C0" w:rsidRPr="004004C0">
        <w:rPr>
          <w:rFonts w:ascii="Times New Roman" w:hAnsi="Times New Roman" w:cs="Times New Roman"/>
          <w:sz w:val="24"/>
          <w:szCs w:val="24"/>
        </w:rPr>
        <w:t xml:space="preserve"> r.</w:t>
      </w:r>
      <w:r w:rsidR="004004C0">
        <w:rPr>
          <w:rFonts w:ascii="Times New Roman" w:hAnsi="Times New Roman" w:cs="Times New Roman"/>
          <w:sz w:val="24"/>
          <w:szCs w:val="24"/>
        </w:rPr>
        <w:t>,</w:t>
      </w:r>
      <w:r w:rsidRPr="00661D8F">
        <w:rPr>
          <w:rFonts w:ascii="Times New Roman" w:hAnsi="Times New Roman" w:cs="Times New Roman"/>
          <w:sz w:val="24"/>
          <w:szCs w:val="24"/>
        </w:rPr>
        <w:t xml:space="preserve"> </w:t>
      </w:r>
      <w:r w:rsidR="004004C0" w:rsidRPr="004004C0">
        <w:rPr>
          <w:rFonts w:ascii="Times New Roman" w:hAnsi="Times New Roman" w:cs="Times New Roman"/>
          <w:sz w:val="24"/>
          <w:szCs w:val="24"/>
        </w:rPr>
        <w:t>zmieniające</w:t>
      </w:r>
      <w:r w:rsidR="004004C0">
        <w:rPr>
          <w:rFonts w:ascii="Times New Roman" w:hAnsi="Times New Roman" w:cs="Times New Roman"/>
          <w:sz w:val="24"/>
          <w:szCs w:val="24"/>
        </w:rPr>
        <w:t>go</w:t>
      </w:r>
      <w:r w:rsidR="004004C0" w:rsidRPr="004004C0">
        <w:rPr>
          <w:rFonts w:ascii="Times New Roman" w:hAnsi="Times New Roman" w:cs="Times New Roman"/>
          <w:sz w:val="24"/>
          <w:szCs w:val="24"/>
        </w:rPr>
        <w:t xml:space="preserve"> rozporządzenie w sprawie wynagradzania pracowników samorządowych</w:t>
      </w:r>
      <w:r w:rsidRPr="00661D8F">
        <w:rPr>
          <w:rFonts w:ascii="Times New Roman" w:hAnsi="Times New Roman" w:cs="Times New Roman"/>
          <w:sz w:val="24"/>
          <w:szCs w:val="24"/>
        </w:rPr>
        <w:t xml:space="preserve"> (Dz.U.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32658">
        <w:rPr>
          <w:rFonts w:ascii="Times New Roman" w:hAnsi="Times New Roman" w:cs="Times New Roman"/>
          <w:sz w:val="24"/>
          <w:szCs w:val="24"/>
        </w:rPr>
        <w:t>4</w:t>
      </w:r>
      <w:r w:rsidRPr="00661D8F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004C0">
        <w:rPr>
          <w:rFonts w:ascii="Times New Roman" w:hAnsi="Times New Roman" w:cs="Times New Roman"/>
          <w:sz w:val="24"/>
          <w:szCs w:val="24"/>
        </w:rPr>
        <w:t>0</w:t>
      </w:r>
      <w:r w:rsidR="00D32658">
        <w:rPr>
          <w:rFonts w:ascii="Times New Roman" w:hAnsi="Times New Roman" w:cs="Times New Roman"/>
          <w:sz w:val="24"/>
          <w:szCs w:val="24"/>
        </w:rPr>
        <w:t>71</w:t>
      </w:r>
      <w:r w:rsidRPr="00661D8F">
        <w:rPr>
          <w:rFonts w:ascii="Times New Roman" w:hAnsi="Times New Roman" w:cs="Times New Roman"/>
          <w:sz w:val="24"/>
          <w:szCs w:val="24"/>
        </w:rPr>
        <w:t>)</w:t>
      </w:r>
      <w:r w:rsidRPr="00661D8F">
        <w:t xml:space="preserve">  </w:t>
      </w:r>
    </w:p>
    <w:p w:rsidR="008E42B2" w:rsidRPr="00661D8F" w:rsidRDefault="008E42B2" w:rsidP="008E42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                 zarządzam</w:t>
      </w:r>
    </w:p>
    <w:p w:rsidR="007B3F6D" w:rsidRDefault="007B3F6D" w:rsidP="007B3F6D">
      <w:pPr>
        <w:pStyle w:val="Default"/>
      </w:pPr>
    </w:p>
    <w:p w:rsidR="008E42B2" w:rsidRDefault="008E42B2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1</w:t>
      </w:r>
    </w:p>
    <w:p w:rsidR="008E42B2" w:rsidRPr="00661D8F" w:rsidRDefault="008E42B2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986C8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zarządzeniu nr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7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17 </w:t>
      </w:r>
      <w:r w:rsid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 zm.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Kierownika Miejskiego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Zespołu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Oświaty z dnia 28 grudnia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17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w sprawie wprowadzenia Regulaminu wynagradzania pracowników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zatru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dnionych 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Miejskim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Zespole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Oświaty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Sławkowie wprowadza się następujące zmiany:</w:t>
      </w:r>
    </w:p>
    <w:p w:rsidR="008E42B2" w:rsidRPr="00661D8F" w:rsidRDefault="008E42B2" w:rsidP="00B6666F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 minimaln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i maksymaln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poziomu miesięcznego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wynagrodzenia zasadniczego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dla poszczególnych kategorii zaszeregowania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otrzymuje brzmienie, zgodnie z załącznikiem Nr </w:t>
      </w:r>
      <w:r w:rsidR="00986C85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niniejszego zarządzenia,</w:t>
      </w:r>
    </w:p>
    <w:p w:rsidR="008E42B2" w:rsidRDefault="008E42B2" w:rsidP="00B6666F">
      <w:pPr>
        <w:pStyle w:val="Akapitzlist"/>
        <w:keepNext/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F21F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tabela wysokości dodatku funkcyjnego dla poszczególnych stanowisk otrzymuje brzmienie, zgodnie z załącznikiem Nr </w:t>
      </w:r>
      <w:r w:rsidR="00986C85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Pr="004F21F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niniejszego zarządzenia,</w:t>
      </w:r>
    </w:p>
    <w:p w:rsidR="00EE2135" w:rsidRPr="00986C85" w:rsidRDefault="00EE2135" w:rsidP="00986C85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 w:rsidRPr="00986C85">
        <w:rPr>
          <w:rFonts w:ascii="Times New Roman" w:eastAsia="Times New Roman" w:hAnsi="Times New Roman"/>
          <w:sz w:val="24"/>
          <w:szCs w:val="20"/>
          <w:lang w:eastAsia="pl-PL"/>
        </w:rPr>
        <w:t>2. W załączeniu aktualna</w:t>
      </w:r>
      <w:r w:rsidRPr="00986C85">
        <w:rPr>
          <w:color w:val="FF0000"/>
          <w:kern w:val="2"/>
          <w:sz w:val="18"/>
          <w:szCs w:val="18"/>
        </w:rPr>
        <w:t xml:space="preserve">  </w:t>
      </w:r>
      <w:r w:rsidRPr="00986C85">
        <w:rPr>
          <w:rFonts w:ascii="Times New Roman" w:eastAsia="Times New Roman" w:hAnsi="Times New Roman"/>
          <w:sz w:val="24"/>
          <w:szCs w:val="20"/>
          <w:lang w:eastAsia="pl-PL"/>
        </w:rPr>
        <w:t>tabela szczegółowych wymagań kwalifikacyjnych pracowników oraz kategorii zaszeregowania dla poszczególnych stanowisk.</w:t>
      </w:r>
    </w:p>
    <w:p w:rsidR="00EE2135" w:rsidRPr="004F21F3" w:rsidRDefault="00EE2135" w:rsidP="00986C85">
      <w:pPr>
        <w:pStyle w:val="Akapitzlist"/>
        <w:keepNext/>
        <w:widowControl w:val="0"/>
        <w:suppressAutoHyphens/>
        <w:spacing w:after="0" w:line="240" w:lineRule="auto"/>
        <w:ind w:left="1066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E42B2" w:rsidRDefault="008E42B2" w:rsidP="008E42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§ 2</w:t>
      </w:r>
    </w:p>
    <w:p w:rsidR="008E42B2" w:rsidRPr="00661D8F" w:rsidRDefault="008E42B2" w:rsidP="008E42B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Pozostałe postanowienia przyjęte Zarządzeniem Nr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/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2017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dnia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28 grudnia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17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roku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B6666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oraz zarządzeniami zmieniającymi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pozostają bez zmian.</w:t>
      </w:r>
    </w:p>
    <w:p w:rsidR="008E42B2" w:rsidRPr="00661D8F" w:rsidRDefault="008E42B2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3</w:t>
      </w:r>
    </w:p>
    <w:p w:rsidR="008E42B2" w:rsidRDefault="008E42B2" w:rsidP="008E42B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Zarządzenie wchodzi w życie z dniem </w:t>
      </w:r>
      <w:r w:rsidR="00D32658">
        <w:rPr>
          <w:rFonts w:ascii="Times New Roman" w:eastAsia="Lucida Sans Unicode" w:hAnsi="Times New Roman" w:cs="Times New Roman"/>
          <w:kern w:val="2"/>
          <w:sz w:val="24"/>
          <w:szCs w:val="24"/>
        </w:rPr>
        <w:t>22 lipca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202</w:t>
      </w:r>
      <w:r w:rsidR="00D32658">
        <w:rPr>
          <w:rFonts w:ascii="Times New Roman" w:eastAsia="Lucida Sans Unicode" w:hAnsi="Times New Roman" w:cs="Times New Roman"/>
          <w:kern w:val="2"/>
          <w:sz w:val="24"/>
          <w:szCs w:val="24"/>
        </w:rPr>
        <w:t>4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mocą obowiązującą od </w:t>
      </w:r>
    </w:p>
    <w:p w:rsidR="008E42B2" w:rsidRPr="00661D8F" w:rsidRDefault="008E42B2" w:rsidP="008E42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1 </w:t>
      </w:r>
      <w:r w:rsidR="00B6666F">
        <w:rPr>
          <w:rFonts w:ascii="Times New Roman" w:eastAsia="Lucida Sans Unicode" w:hAnsi="Times New Roman" w:cs="Times New Roman"/>
          <w:kern w:val="2"/>
          <w:sz w:val="24"/>
          <w:szCs w:val="24"/>
        </w:rPr>
        <w:t>lipca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202</w:t>
      </w:r>
      <w:r w:rsidR="00D32658">
        <w:rPr>
          <w:rFonts w:ascii="Times New Roman" w:eastAsia="Lucida Sans Unicode" w:hAnsi="Times New Roman" w:cs="Times New Roman"/>
          <w:kern w:val="2"/>
          <w:sz w:val="24"/>
          <w:szCs w:val="24"/>
        </w:rPr>
        <w:t>4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Kierownik Miejskiego Zespołu Oświaty</w:t>
      </w:r>
    </w:p>
    <w:p w:rsidR="008E42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w Sławkowie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mgr Danuta Niejadlik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7B3F6D" w:rsidRPr="00661D8F" w:rsidRDefault="007B3F6D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</w:t>
      </w:r>
    </w:p>
    <w:p w:rsidR="00F46000" w:rsidRPr="00D32658" w:rsidRDefault="00D75C50" w:rsidP="00986C85">
      <w:pPr>
        <w:spacing w:after="0" w:line="240" w:lineRule="auto"/>
        <w:ind w:left="6946"/>
        <w:rPr>
          <w:rFonts w:ascii="Times New Roman" w:eastAsia="Lucida Sans Unicode" w:hAnsi="Times New Roman" w:cs="Times New Roman"/>
          <w:color w:val="FF0000"/>
          <w:kern w:val="2"/>
          <w:sz w:val="20"/>
          <w:szCs w:val="20"/>
        </w:rPr>
      </w:pPr>
      <w:r w:rsidRPr="00D3265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lastRenderedPageBreak/>
        <w:t xml:space="preserve">              </w:t>
      </w:r>
    </w:p>
    <w:p w:rsidR="00085490" w:rsidRPr="00282FB2" w:rsidRDefault="00085490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8E42B2" w:rsidRPr="00282FB2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                                                           </w:t>
      </w:r>
      <w:r w:rsidR="00B737D0" w:rsidRPr="00282FB2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</w:t>
      </w:r>
      <w:r w:rsidRPr="00282FB2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 xml:space="preserve">Załącznik Nr </w:t>
      </w:r>
      <w:r w:rsidR="00986C85" w:rsidRPr="00282FB2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>1</w:t>
      </w:r>
      <w:r w:rsidRPr="00282FB2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 xml:space="preserve"> </w:t>
      </w:r>
    </w:p>
    <w:p w:rsidR="00B6666F" w:rsidRPr="00282FB2" w:rsidRDefault="008E42B2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</w:t>
      </w:r>
      <w:r w:rsidR="00B737D0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d</w:t>
      </w:r>
      <w:r w:rsidR="00B6666F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o zarządzenia Nr 0</w:t>
      </w:r>
      <w:r w:rsidR="00282FB2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3</w:t>
      </w:r>
      <w:r w:rsidR="00B6666F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/2023   </w:t>
      </w:r>
    </w:p>
    <w:p w:rsidR="00B6666F" w:rsidRPr="00282FB2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</w:t>
      </w:r>
      <w:r w:rsidR="00B737D0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Kierownika Miejskiego Zespołu Oświaty</w:t>
      </w:r>
    </w:p>
    <w:p w:rsidR="00B6666F" w:rsidRPr="00282FB2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w Sławkowie z dnia </w:t>
      </w:r>
      <w:r w:rsidR="00986C85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22 lipca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202</w:t>
      </w:r>
      <w:r w:rsidR="00986C85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4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r. </w:t>
      </w:r>
    </w:p>
    <w:p w:rsidR="008E42B2" w:rsidRPr="00D32658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FF0000"/>
          <w:kern w:val="2"/>
          <w:sz w:val="20"/>
          <w:szCs w:val="20"/>
        </w:rPr>
      </w:pPr>
    </w:p>
    <w:p w:rsidR="008E42B2" w:rsidRPr="0040637D" w:rsidRDefault="008E42B2" w:rsidP="008E42B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8E42B2" w:rsidRDefault="008E42B2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4"/>
        </w:rPr>
      </w:pP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MINIMALNY I MAKSYMALNY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POZIOM MIESIĘCZNEGO</w:t>
      </w: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WYNAGRODZENIA ZASADNICZEGO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DLA POSZCZEGÓLNYCH KATEGORII ZASZEREGOWANIA</w:t>
      </w:r>
    </w:p>
    <w:p w:rsidR="00D32658" w:rsidRPr="00D32658" w:rsidRDefault="00D32658" w:rsidP="00D3265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D32658" w:rsidRPr="00D32658" w:rsidTr="00644CD3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D3265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i maksymalna kwota w złotych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4000,00 –  5700,00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4050,00 –  5900,00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4100,00 –  6100,00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4150,00 –  6250,00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4200,00 –  6400,00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4250,00 –  6550,00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4300,00 –  6750,00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4350,00 –  6950,00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4400,00 –  7050,00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4500,00 –  7200,00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4600,00 –  7300,00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4700,00 –  7400,00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4800,00 –  7500,00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4900,00 –  7600,00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5000,00 –  7700,00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5200,00 –  7800,00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5400,00 –  7900,00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5600,00 –  8000,00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5900,00 –  8100,00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6200,00 –  8200,00</w:t>
            </w:r>
          </w:p>
        </w:tc>
      </w:tr>
    </w:tbl>
    <w:p w:rsidR="00D32658" w:rsidRPr="00D32658" w:rsidRDefault="00D32658" w:rsidP="00D326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32658" w:rsidRPr="00D32658" w:rsidRDefault="00D32658" w:rsidP="00D32658">
      <w:pPr>
        <w:widowControl w:val="0"/>
        <w:suppressAutoHyphens/>
        <w:spacing w:after="0" w:line="240" w:lineRule="auto"/>
      </w:pPr>
      <w:r w:rsidRPr="00D3265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</w:t>
      </w:r>
    </w:p>
    <w:p w:rsidR="00D32658" w:rsidRPr="0040637D" w:rsidRDefault="00D32658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</w:p>
    <w:p w:rsidR="00B6666F" w:rsidRDefault="00B6666F" w:rsidP="008E42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6666F" w:rsidRPr="0040637D" w:rsidRDefault="00B6666F" w:rsidP="008E42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2E6BB8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</w:t>
      </w:r>
    </w:p>
    <w:p w:rsidR="00F46000" w:rsidRPr="00282FB2" w:rsidRDefault="00F46000" w:rsidP="00F46000">
      <w:pPr>
        <w:spacing w:after="0" w:line="240" w:lineRule="auto"/>
        <w:ind w:left="694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FB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986C85" w:rsidRPr="00282FB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</w:p>
    <w:p w:rsidR="00B6666F" w:rsidRPr="00282FB2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do zarządzenia Nr 02/2023   </w:t>
      </w:r>
    </w:p>
    <w:p w:rsidR="00B6666F" w:rsidRPr="00282FB2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Kierownika Miejskiego Zespołu Oświaty</w:t>
      </w:r>
    </w:p>
    <w:p w:rsidR="00B6666F" w:rsidRPr="00282FB2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w Sławkowie z dnia </w:t>
      </w:r>
      <w:r w:rsidR="00986C85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22 lipca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202</w:t>
      </w:r>
      <w:r w:rsidR="00986C85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4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r. </w:t>
      </w:r>
    </w:p>
    <w:p w:rsidR="00B6666F" w:rsidRPr="00282FB2" w:rsidRDefault="00B6666F" w:rsidP="00B6666F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46000" w:rsidRPr="00282FB2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6666F" w:rsidRPr="0040637D" w:rsidRDefault="00B6666F" w:rsidP="00B6666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F46000" w:rsidRPr="008B1990" w:rsidRDefault="00F46000" w:rsidP="00F46000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  <w:t xml:space="preserve">Wysokość dodatku funkcyjnego dla poszczególnych stanowisk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2567"/>
        <w:gridCol w:w="3073"/>
      </w:tblGrid>
      <w:tr w:rsidR="00F46000" w:rsidRPr="008B1990" w:rsidTr="00B6666F">
        <w:tc>
          <w:tcPr>
            <w:tcW w:w="3134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both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Stanowisko</w:t>
            </w:r>
          </w:p>
        </w:tc>
        <w:tc>
          <w:tcPr>
            <w:tcW w:w="2567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Minimalna kwota</w:t>
            </w:r>
          </w:p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w złotych</w:t>
            </w:r>
          </w:p>
        </w:tc>
        <w:tc>
          <w:tcPr>
            <w:tcW w:w="3073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Maksymalna kwota</w:t>
            </w:r>
          </w:p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w złotych</w:t>
            </w:r>
          </w:p>
        </w:tc>
      </w:tr>
      <w:tr w:rsidR="00F46000" w:rsidRPr="008B1990" w:rsidTr="00B6666F">
        <w:tc>
          <w:tcPr>
            <w:tcW w:w="3134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Główny księgowy</w:t>
            </w:r>
          </w:p>
        </w:tc>
        <w:tc>
          <w:tcPr>
            <w:tcW w:w="2567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50</w:t>
            </w:r>
            <w:r w:rsidR="00FA1861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</w:t>
            </w:r>
          </w:p>
        </w:tc>
        <w:tc>
          <w:tcPr>
            <w:tcW w:w="3073" w:type="dxa"/>
            <w:shd w:val="clear" w:color="auto" w:fill="auto"/>
          </w:tcPr>
          <w:p w:rsidR="00F46000" w:rsidRPr="008B1990" w:rsidRDefault="00F46000" w:rsidP="00FA1861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1 </w:t>
            </w:r>
            <w:r w:rsidR="00FA1861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600</w:t>
            </w:r>
          </w:p>
        </w:tc>
      </w:tr>
      <w:tr w:rsidR="00F46000" w:rsidRPr="008B1990" w:rsidTr="00B6666F">
        <w:tc>
          <w:tcPr>
            <w:tcW w:w="3134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specjalisty d.s.</w:t>
            </w: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finansowych</w:t>
            </w:r>
          </w:p>
        </w:tc>
        <w:tc>
          <w:tcPr>
            <w:tcW w:w="2567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F46000" w:rsidRPr="008B1990" w:rsidRDefault="00FA1861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3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  <w:tc>
          <w:tcPr>
            <w:tcW w:w="3073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F46000" w:rsidRPr="008B1990" w:rsidRDefault="00FA1861" w:rsidP="00AC63E9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1 </w:t>
            </w:r>
            <w:r w:rsidR="00AC63E9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3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</w:tr>
      <w:tr w:rsidR="00F46000" w:rsidRPr="008B1990" w:rsidTr="00B6666F">
        <w:tc>
          <w:tcPr>
            <w:tcW w:w="3134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0"/>
                <w:tab w:val="left" w:pos="1008"/>
              </w:tabs>
              <w:suppressAutoHyphens/>
              <w:spacing w:after="120" w:line="100" w:lineRule="atLeast"/>
              <w:ind w:right="315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specjalisty d.s. administracyjno-kadrowych</w:t>
            </w:r>
          </w:p>
        </w:tc>
        <w:tc>
          <w:tcPr>
            <w:tcW w:w="2567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F46000" w:rsidRPr="008B1990" w:rsidRDefault="00FA1861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3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  <w:tc>
          <w:tcPr>
            <w:tcW w:w="3073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F46000" w:rsidRPr="008B1990" w:rsidRDefault="00AC63E9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9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</w:tr>
    </w:tbl>
    <w:p w:rsidR="00F46000" w:rsidRPr="008B1990" w:rsidRDefault="00F46000" w:rsidP="00F46000">
      <w:pPr>
        <w:widowControl w:val="0"/>
        <w:tabs>
          <w:tab w:val="left" w:pos="720"/>
          <w:tab w:val="left" w:pos="1008"/>
        </w:tabs>
        <w:suppressAutoHyphens/>
        <w:spacing w:after="120" w:line="100" w:lineRule="atLeast"/>
        <w:jc w:val="both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  <w:t xml:space="preserve">     </w:t>
      </w: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p w:rsidR="00986C85" w:rsidRPr="0040637D" w:rsidRDefault="00986C85" w:rsidP="00986C8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986C85" w:rsidRPr="00CE06FF" w:rsidRDefault="00986C85" w:rsidP="00986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E06FF">
        <w:rPr>
          <w:rFonts w:ascii="Times New Roman" w:eastAsia="Times New Roman" w:hAnsi="Times New Roman" w:cs="Times New Roman"/>
          <w:b/>
          <w:lang w:eastAsia="pl-PL"/>
        </w:rPr>
        <w:t>Szczegółowe wymagania kwalifikacyjne pracowników oraz kategorie zaszeregowania dla poszczególnych stanowisk</w:t>
      </w:r>
    </w:p>
    <w:tbl>
      <w:tblPr>
        <w:tblW w:w="9643" w:type="dxa"/>
        <w:tblInd w:w="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975"/>
        <w:gridCol w:w="12"/>
        <w:gridCol w:w="1691"/>
        <w:gridCol w:w="2694"/>
        <w:gridCol w:w="1842"/>
      </w:tblGrid>
      <w:tr w:rsidR="00986C85" w:rsidRPr="008B1990" w:rsidTr="00C4067E"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6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Minimalne w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ymagania kwalifikacyjne</w:t>
            </w: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1)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986C85" w:rsidRPr="008B1990" w:rsidTr="00C4067E"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  <w:sz w:val="16"/>
                <w:szCs w:val="16"/>
              </w:rPr>
              <w:t>Lp.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Stanowisko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Minimalny poziom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 xml:space="preserve">wynagrodzenia zasadniczego 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wykształcenie oraz umiejętności zawodowe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staż pracy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(w latach)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986C85" w:rsidRPr="008B1990" w:rsidTr="00C4067E"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</w:rPr>
              <w:t>1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</w:t>
            </w: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</w:rPr>
              <w:t>2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</w:t>
            </w: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</w:rPr>
              <w:t>3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4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5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</w:tr>
      <w:tr w:rsidR="00986C85" w:rsidRPr="008B1990" w:rsidTr="00C4067E">
        <w:tc>
          <w:tcPr>
            <w:tcW w:w="96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bCs/>
                <w:kern w:val="1"/>
                <w:sz w:val="28"/>
                <w:szCs w:val="28"/>
              </w:rPr>
            </w:pP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  <w:sz w:val="28"/>
                <w:szCs w:val="28"/>
              </w:rPr>
              <w:t>Kierownicze stanowiska urzędnicze</w:t>
            </w:r>
          </w:p>
        </w:tc>
      </w:tr>
      <w:tr w:rsidR="00986C85" w:rsidRPr="008B1990" w:rsidTr="00C4067E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Główny księgowy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XV</w:t>
            </w:r>
          </w:p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według odrębnych przepisów</w:t>
            </w:r>
          </w:p>
        </w:tc>
      </w:tr>
      <w:tr w:rsidR="00986C85" w:rsidRPr="008B1990" w:rsidTr="00C4067E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6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8"/>
                <w:szCs w:val="28"/>
              </w:rPr>
              <w:t>Stanowiska urzędnicze</w:t>
            </w:r>
          </w:p>
        </w:tc>
      </w:tr>
      <w:tr w:rsidR="00986C85" w:rsidRPr="008B1990" w:rsidTr="00C4067E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Starszy specjalista,</w:t>
            </w:r>
          </w:p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X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C85" w:rsidRPr="00374A00" w:rsidRDefault="00986C85" w:rsidP="00C406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wyższe</w:t>
            </w: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2)</w:t>
            </w:r>
          </w:p>
          <w:p w:rsidR="00986C85" w:rsidRPr="00374A00" w:rsidRDefault="00986C85" w:rsidP="00C4067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ekonomiczne lub inne o specjalności umożliwiającej wykonywanie zadań na stanowisku.</w:t>
            </w:r>
          </w:p>
          <w:p w:rsidR="00986C85" w:rsidRPr="00374A00" w:rsidRDefault="00986C85" w:rsidP="00C406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    średnie</w:t>
            </w: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3)</w:t>
            </w:r>
          </w:p>
          <w:p w:rsidR="00986C85" w:rsidRPr="00374A00" w:rsidRDefault="00986C85" w:rsidP="00C4067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ekonomiczne lub inne o specjalności umożliwiającej wykonywanie zadań na stanowisku.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C85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  <w:p w:rsidR="00986C85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  <w:tr w:rsidR="00986C85" w:rsidRPr="008B1990" w:rsidTr="00C4067E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C85" w:rsidRPr="008B1990" w:rsidRDefault="00986C85" w:rsidP="00C4067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Specjalista,</w:t>
            </w:r>
          </w:p>
          <w:p w:rsidR="00986C85" w:rsidRPr="008B1990" w:rsidRDefault="00986C85" w:rsidP="00C4067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Specjalista d.s. finansowych,</w:t>
            </w:r>
          </w:p>
          <w:p w:rsidR="00986C85" w:rsidRPr="008B1990" w:rsidRDefault="00986C85" w:rsidP="00C4067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Specjalista d.s. administracyjno-kadrowych.</w:t>
            </w:r>
          </w:p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X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C85" w:rsidRPr="00374A00" w:rsidRDefault="00986C85" w:rsidP="00C4067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      wyższe</w:t>
            </w: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2)</w:t>
            </w:r>
          </w:p>
          <w:p w:rsidR="00986C85" w:rsidRPr="00374A00" w:rsidRDefault="00986C85" w:rsidP="00C4067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o specjalności umożliwiającej wykonywanie zadań na stanowisku.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986C85" w:rsidRPr="008B1990" w:rsidTr="00C4067E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6C85" w:rsidRPr="008B1990" w:rsidRDefault="00986C85" w:rsidP="00C4067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6C85" w:rsidRPr="008B1990" w:rsidRDefault="00986C85" w:rsidP="00C4067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6C85" w:rsidRPr="008B1990" w:rsidRDefault="00986C85" w:rsidP="00C4067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6C85" w:rsidRPr="00374A00" w:rsidRDefault="00986C85" w:rsidP="00C406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      średnie</w:t>
            </w: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3)</w:t>
            </w:r>
          </w:p>
          <w:p w:rsidR="00986C85" w:rsidRPr="00374A00" w:rsidRDefault="00986C85" w:rsidP="00C406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 xml:space="preserve">ekonomiczne lub inne o specjalności umożliwiającej wykonywanie zadań na stanowisku.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</w:tr>
      <w:tr w:rsidR="00986C85" w:rsidRPr="008B1990" w:rsidTr="00C4067E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6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8"/>
                <w:szCs w:val="28"/>
              </w:rPr>
              <w:t>Stanowiska pomocnicze</w:t>
            </w:r>
          </w:p>
        </w:tc>
      </w:tr>
      <w:tr w:rsidR="00986C85" w:rsidRPr="008B1990" w:rsidTr="00C4067E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42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9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C85" w:rsidRPr="008B1990" w:rsidRDefault="00986C85" w:rsidP="00C4067E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Pomoc administracyjna (biurowa)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</w:t>
            </w:r>
          </w:p>
          <w:p w:rsidR="00986C85" w:rsidRPr="008B1990" w:rsidRDefault="00986C85" w:rsidP="00C4067E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86C85" w:rsidRPr="008B1990" w:rsidRDefault="00986C85" w:rsidP="00C406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średnie</w:t>
            </w: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3)</w:t>
            </w:r>
          </w:p>
          <w:p w:rsidR="00986C85" w:rsidRPr="008B1990" w:rsidRDefault="00986C85" w:rsidP="00C4067E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ogólne lub inne o specjalności umożliwiającej wykonywanie zadań na stanowisku.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986C85" w:rsidRPr="008B1990" w:rsidRDefault="00986C85" w:rsidP="00C4067E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986C85" w:rsidRPr="008B1990" w:rsidTr="00C4067E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C85" w:rsidRPr="008B1990" w:rsidRDefault="00986C85" w:rsidP="00C4067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85" w:rsidRPr="008B1990" w:rsidRDefault="00986C85" w:rsidP="00C4067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85" w:rsidRPr="008B1990" w:rsidRDefault="00986C85" w:rsidP="00C4067E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85" w:rsidRPr="008B1990" w:rsidRDefault="00986C85" w:rsidP="00C4067E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986C85" w:rsidRDefault="00986C85" w:rsidP="00986C8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</w:rPr>
        <w:t>1)</w:t>
      </w: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Szczegółowe wymagania kwalifikacyjne w zakresie wykształcenia i stażu pracy dla kierowniczych stanowisk urzędniczych i stanowisk urzędniczych, na których stosunek pracy nawiązano na podstawie umowy o pracę, uwzględniają wymagania określone w ustawie, przy czym do stażu pracy wymaganego na kierowniczych stanowiskach urzędniczych wlicza się wykonywanie działalności gospodarczej, zgodnie z art. 6 ust. 4 pkt 1 ustawy. </w:t>
      </w:r>
    </w:p>
    <w:p w:rsidR="00986C85" w:rsidRPr="008B1990" w:rsidRDefault="00986C85" w:rsidP="00986C8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</w:rPr>
        <w:t xml:space="preserve">2) </w:t>
      </w: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Wyższe odpowiedniej specjalności umożliwiające wykonywanie zadań na stanowisku, a w odniesieniu do stanowisk urzędniczych i kierowniczych stanowisk urzędniczych, na których stosunek pracy nawiązano na podstawie umowy o pracę, a także wymagania określone w ustawie stosownie do opisu stanowiska. </w:t>
      </w:r>
    </w:p>
    <w:p w:rsidR="00986C85" w:rsidRDefault="00986C85" w:rsidP="00986C8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</w:rPr>
        <w:t>3)</w:t>
      </w: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Średnie o profilu ogólnym lub zawodowym umożliwiające wykonywanie zadań na stanowisku, a w odniesieniu do stanowisk urzędniczych i kierowniczych stanowisk urzędniczych i stanowisk pomocniczych stosownie do opisu stanowiska. </w:t>
      </w:r>
    </w:p>
    <w:p w:rsidR="00986C85" w:rsidRPr="008B1990" w:rsidRDefault="00986C85" w:rsidP="00986C8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986C85" w:rsidRDefault="00986C85" w:rsidP="00986C8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986C85" w:rsidRDefault="00986C85" w:rsidP="00986C8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986C85" w:rsidRDefault="00986C85" w:rsidP="00986C8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986C85" w:rsidRDefault="00986C85" w:rsidP="008E42B2">
      <w:pPr>
        <w:widowControl w:val="0"/>
        <w:suppressAutoHyphens/>
        <w:spacing w:after="0" w:line="240" w:lineRule="auto"/>
      </w:pPr>
    </w:p>
    <w:sectPr w:rsidR="0098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B2"/>
    <w:rsid w:val="00085490"/>
    <w:rsid w:val="00096F5E"/>
    <w:rsid w:val="00115044"/>
    <w:rsid w:val="00252853"/>
    <w:rsid w:val="00276B2F"/>
    <w:rsid w:val="00282FB2"/>
    <w:rsid w:val="002E6BB8"/>
    <w:rsid w:val="00374A00"/>
    <w:rsid w:val="004004C0"/>
    <w:rsid w:val="00645442"/>
    <w:rsid w:val="006D45DB"/>
    <w:rsid w:val="006F10C4"/>
    <w:rsid w:val="00735A5A"/>
    <w:rsid w:val="007B3F6D"/>
    <w:rsid w:val="0085018C"/>
    <w:rsid w:val="008E42B2"/>
    <w:rsid w:val="00986C85"/>
    <w:rsid w:val="00AC63E9"/>
    <w:rsid w:val="00B6666F"/>
    <w:rsid w:val="00B737D0"/>
    <w:rsid w:val="00CB17E5"/>
    <w:rsid w:val="00D32658"/>
    <w:rsid w:val="00D75C50"/>
    <w:rsid w:val="00EE2135"/>
    <w:rsid w:val="00F46000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8FAE"/>
  <w15:chartTrackingRefBased/>
  <w15:docId w15:val="{627CAC3B-38B6-432E-87E4-33ADBA33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6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2B2"/>
    <w:pPr>
      <w:ind w:left="720"/>
      <w:contextualSpacing/>
    </w:pPr>
  </w:style>
  <w:style w:type="paragraph" w:customStyle="1" w:styleId="Default">
    <w:name w:val="Default"/>
    <w:rsid w:val="007B3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16</cp:revision>
  <dcterms:created xsi:type="dcterms:W3CDTF">2023-06-21T12:39:00Z</dcterms:created>
  <dcterms:modified xsi:type="dcterms:W3CDTF">2024-09-27T08:22:00Z</dcterms:modified>
</cp:coreProperties>
</file>